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Система жилищно-коммунального хозяйства была разрушена до уничтожения СССР, в 1990 году для вывода огромных средств фондов амортизации, аккумулированных с целью проведения мероприятий массовой реконструкции микрорайонов жилья первых массовых серий, намеченной на 80-90-е годы ХХ в.. К этим мероприятиям был подготовлен огромный переселенческий фонд, мощные ремонтно-строительные управления.</w:t>
        <w:b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Одновременно с 1990 г. на уровне местных администраций входила незаконная приватизация (с высокой коррупционной составляющей) площадей Министерства бытового обслуживания населения, зеленхозов, предприятий по уборке снега и бытовых отходов. В сущности, все это представляло собой намеренное разрушение всей отлаженной мирной жизни населения.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ходе проводимой в форме «реформы энергетики» Чубайсом и К</w:t>
      </w:r>
      <w:r>
        <w:rPr>
          <w:sz w:val="28"/>
          <w:szCs w:val="28"/>
          <w:vertAlign w:val="superscript"/>
        </w:rPr>
        <w:t xml:space="preserve">0 </w:t>
      </w:r>
      <w:r>
        <w:rPr>
          <w:position w:val="0"/>
          <w:sz w:val="28"/>
          <w:sz w:val="28"/>
          <w:szCs w:val="28"/>
          <w:vertAlign w:val="baseline"/>
        </w:rPr>
        <w:t xml:space="preserve">в 1996 году на население начинает списываться «оплата за отопление», поставляемого с ТЭЦ, когда население оплачивает стоимость центрального отопления (в качестве системы охлаждения теплоносителя) — в стоимости оплаты за потребляемую электроэнергию. На эти средства («собираемые с населения для государства» с. Чубайс) не имелось и не имеется никаких производственных затрат, более того, походили суды со всеми желающими отключиться от такого «комфорта» и «удобства». Куда ушли все эти средства — догадаться несложно по растущей угрозе терроризма, созданию криптовалют в качестве финансовых пирамид и ухода от налогов, проведения общественных беспорядков, создания «общественных движений», имеющих целью изменение конституционного строя. Поскольку способы аккумуляции денежных средств определяют и способы их целевого использования.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position w:val="0"/>
          <w:sz w:val="28"/>
          <w:sz w:val="28"/>
          <w:szCs w:val="28"/>
          <w:vertAlign w:val="baseline"/>
        </w:rPr>
        <w:t>Неграмотный характер установления этой «оплаты за отопления» определяет сама единица измерения: сбор устанавливается с единицы площади, то есть неграмотные авантюристы не понимают, что отапливается объем.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position w:val="0"/>
          <w:sz w:val="28"/>
          <w:sz w:val="28"/>
          <w:szCs w:val="28"/>
          <w:vertAlign w:val="baseline"/>
        </w:rPr>
        <w:br/>
        <w:t>Основной производственной целью эксплуатации зданий и сооружений является поддержание и анализ системы обязательных технических осмотров. В ходе «реформы ЖКХ» эта система была уничтожена и заменена расчетно-кассовыми центрами, в сущности, взимающими подать с населения исключительно с коррупционными целями, для создания хаоса в экономике и прямо по месту жительства людей.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Одновременно на этапе проектирования вносятся установки повысить высоту жилых помещений в свету до 3 м с 2.85 м, меняются утвержденные и отработанные модули в строительстве. Это позволяет приступить к уничтожению мощных домостроительных комбинатов, без учета того, что лишь индустриальное производство позволяет контролировать качество и надежность, сделать доступными для граждан лучшие достижения отечественных инженеров-строителей, архитекторов и проектировщиков.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Отрасль ЖКХ никогда не была дотируемой государством. Отрасль всегда была рентабельной, но перед работниками жилищно-коммунального хозяйства стояла государственная задача минимизировать размеры оплаты ЖКУ, чтобы наши граждане тратили на оплату совокупных взносов не более 2% от совокупного дохода семьи.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Это достигалось соблюдением нормативных эксплуатационных требований по критериям теории надежности, повышением сроков нормативной долговечности с базовым значением 150 лет.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1996 г. перед отраслью стояла задача провести массовую реконструкцию микрорайонов жилья первых массовых серий, повысить сроки нормативной эксплуатации до 175 лет в жилищном строительстве, до 196 лет для общественных зданий и сооружений.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русле этих задач были обновлены СанПин и СНиП по требованиям пожарной безопасности в области проектных решений и получения технических заданий на период проектирования. </w:t>
        <w:br/>
        <w:t>Однако вместо планомерного развития отрасли мы получили полный разгром в виде «реформ» от безграмотных, безответственных людей, попросту уничтожавших оставшихся специалистов в отрасли.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Еще в 1985 г. был проведен Всесоюзный конкурс молодых архитекторов по концептуальным решениям в реконструкции и усилении микрорайонов «серой застройки». В проектных институтах велась работа по разработке типовых решений реконструкции, но уже подходили сроки реконструкции жилья, застройки 70-х и 80-х годов. А вместо этого постоянно повышаемые ЖКУ выводились на неблаговидные цели.</w:t>
        <w:br/>
        <w:t>Последующая «реформа ЖКХ» проводилась неграмотными в экономическом и техническом отношении людьми, из корыстных соображений заявлявших, будто «советские люди платили только 2% за ЖКУ, остальное за доплачивало государство». Огромные потоки оплаты ЖКУ, выбиваемые из людей в самое сложное время экономического хаоса, ушли нецелевым финансированием волюнтаристких решений в переустройстве городской среды и варварскую «точечную застройку», на взлом нормативных требований в эксплуатации.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настоящий момент в области жилищно-коммунального хозяйства сложилась катастрофическая ситуация. Уничтожена эксплуатационная документация индустриальной застройки, оцифрованная база аналитики по многолетним осмотрам и наблюдениям.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ЖКХ практически все собираемые с граждан средства идут нелевым финансированием, являясь источником коррупции, финансирования наркотрафика и деструктивных политических партий и движений.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Не секрет, что основные потоки мигрантов получают заказы именно в ЖКХ.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Огромные денежные потоки в Фонд капремонта много лет уходили сразу на пополнение счетов на Кипре, поскольку сами фонды создавались в разрушение системы планово-восстановительных мероприятий людьми, игнорирующими критерии теории надежности, вводимые в отрасль 1934 года. То есть, фонды намеренно организовывались, не имея графика работ по каждому объекту, не давая возможности организовывать планово-восстановительные мероприятия.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результате уничтожения жилищно-коммунальной отрасли, превращения ее в наиболее криминальную сферу </w:t>
      </w:r>
      <w:r>
        <w:rPr>
          <w:rFonts w:cs="Times New Roman" w:ascii="Times New Roman" w:hAnsi="Times New Roman"/>
          <w:sz w:val="28"/>
          <w:szCs w:val="28"/>
        </w:rPr>
        <w:t xml:space="preserve"> с </w:t>
      </w:r>
      <w:r>
        <w:rPr>
          <w:rFonts w:cs="Times New Roman" w:ascii="Times New Roman" w:hAnsi="Times New Roman"/>
          <w:sz w:val="28"/>
          <w:szCs w:val="28"/>
        </w:rPr>
        <w:t>начала «святых 90-х» повсеместно</w:t>
      </w:r>
      <w:r>
        <w:rPr>
          <w:rFonts w:cs="Times New Roman" w:ascii="Times New Roman" w:hAnsi="Times New Roman"/>
          <w:sz w:val="28"/>
          <w:szCs w:val="28"/>
        </w:rPr>
        <w:t xml:space="preserve"> действу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>т ОПГ с участием региональных спецслужб и правоохранительных органов, выстраивающ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z w:val="28"/>
          <w:szCs w:val="28"/>
        </w:rPr>
        <w:t xml:space="preserve"> «крепкие связи» на почве компрометации (сбора папок с компроматом). Наиболее плотные и тесные отношения здесь возникают на почве педофилии и педерастии, как в любом преступном сообществе с нетипичными мотивациями. 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Граждане оказываются неминуемо втянутыми в противостояние с этими</w:t>
      </w:r>
      <w:r>
        <w:rPr>
          <w:rFonts w:cs="Times New Roman" w:ascii="Times New Roman" w:hAnsi="Times New Roman"/>
          <w:sz w:val="28"/>
          <w:szCs w:val="28"/>
        </w:rPr>
        <w:t xml:space="preserve"> ОПГ, ведущ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z w:val="28"/>
          <w:szCs w:val="28"/>
        </w:rPr>
        <w:t xml:space="preserve"> в настоящее хищническую коммерческую и жилищную застройку без технических условий, без реконструкции транспортных и инженерных коммуникаций, без элементарного обоснования проводимых мероприятий. При этом застраиваются резервные участки и водосбросы, уничтожаются гидротехнические объекты, земли общего пользования и природоохранные зоны. </w:t>
        <w:br/>
        <w:t>Средства из город</w:t>
      </w:r>
      <w:r>
        <w:rPr>
          <w:rFonts w:cs="Times New Roman" w:ascii="Times New Roman" w:hAnsi="Times New Roman"/>
          <w:sz w:val="28"/>
          <w:szCs w:val="28"/>
        </w:rPr>
        <w:t>ских и сельских поселений</w:t>
      </w:r>
      <w:r>
        <w:rPr>
          <w:rFonts w:cs="Times New Roman" w:ascii="Times New Roman" w:hAnsi="Times New Roman"/>
          <w:sz w:val="28"/>
          <w:szCs w:val="28"/>
        </w:rPr>
        <w:t xml:space="preserve"> выводятся путем отмывания </w:t>
      </w:r>
      <w:r>
        <w:rPr>
          <w:rFonts w:cs="Times New Roman" w:ascii="Times New Roman" w:hAnsi="Times New Roman"/>
          <w:sz w:val="28"/>
          <w:szCs w:val="28"/>
        </w:rPr>
        <w:t>функционирования</w:t>
      </w:r>
      <w:r>
        <w:rPr>
          <w:rFonts w:cs="Times New Roman" w:ascii="Times New Roman" w:hAnsi="Times New Roman"/>
          <w:sz w:val="28"/>
          <w:szCs w:val="28"/>
        </w:rPr>
        <w:t xml:space="preserve"> наркотрафика и торговли оружием через неправомерно взимаемые ЖКУ, средств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социальных фондов и фондов капремонта.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Уже прошли знаковые пожары и обрушения жилых домов, списываемых на «взрыв газа» и какие-то неправомерные действия и поступки самих жильцов.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Техническое оповещение специалистов разрушено, никаких профессиональных выводов по предотвращению аварий и обрушений не делается.</w:t>
        <w:br/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9 ноября 2017 г.</w:t>
      </w:r>
      <w:r>
        <w:rPr>
          <w:rFonts w:cs="Times New Roman" w:ascii="Times New Roman" w:hAnsi="Times New Roman"/>
          <w:sz w:val="28"/>
          <w:szCs w:val="28"/>
        </w:rPr>
        <w:t xml:space="preserve">  на </w:t>
      </w:r>
      <w:r>
        <w:rPr>
          <w:rFonts w:cs="Times New Roman" w:ascii="Times New Roman" w:hAnsi="Times New Roman"/>
          <w:sz w:val="28"/>
          <w:szCs w:val="28"/>
        </w:rPr>
        <w:t xml:space="preserve">ул. </w:t>
      </w:r>
      <w:r>
        <w:rPr>
          <w:rFonts w:cs="Times New Roman" w:ascii="Times New Roman" w:hAnsi="Times New Roman"/>
          <w:sz w:val="28"/>
          <w:szCs w:val="28"/>
        </w:rPr>
        <w:t xml:space="preserve">Удмуртской </w:t>
      </w:r>
      <w:r>
        <w:rPr>
          <w:rFonts w:cs="Times New Roman" w:ascii="Times New Roman" w:hAnsi="Times New Roman"/>
          <w:sz w:val="28"/>
          <w:szCs w:val="28"/>
        </w:rPr>
        <w:t xml:space="preserve">в Ижевске </w:t>
      </w:r>
      <w:r>
        <w:rPr>
          <w:rFonts w:cs="Times New Roman" w:ascii="Times New Roman" w:hAnsi="Times New Roman"/>
          <w:sz w:val="28"/>
          <w:szCs w:val="28"/>
        </w:rPr>
        <w:t>обруш</w:t>
      </w:r>
      <w:r>
        <w:rPr>
          <w:rFonts w:cs="Times New Roman" w:ascii="Times New Roman" w:hAnsi="Times New Roman"/>
          <w:sz w:val="28"/>
          <w:szCs w:val="28"/>
        </w:rPr>
        <w:t>илась вставка</w:t>
      </w:r>
      <w:r>
        <w:rPr>
          <w:rFonts w:cs="Times New Roman" w:ascii="Times New Roman" w:hAnsi="Times New Roman"/>
          <w:sz w:val="28"/>
          <w:szCs w:val="28"/>
        </w:rPr>
        <w:t xml:space="preserve"> жилого дома  над не вынесенным в установленные сроки участком </w:t>
      </w:r>
      <w:r>
        <w:rPr>
          <w:rFonts w:cs="Times New Roman" w:ascii="Times New Roman" w:hAnsi="Times New Roman"/>
          <w:sz w:val="28"/>
          <w:szCs w:val="28"/>
        </w:rPr>
        <w:t xml:space="preserve">прорвавшейся </w:t>
      </w:r>
      <w:r>
        <w:rPr>
          <w:rFonts w:cs="Times New Roman" w:ascii="Times New Roman" w:hAnsi="Times New Roman"/>
          <w:sz w:val="28"/>
          <w:szCs w:val="28"/>
        </w:rPr>
        <w:t xml:space="preserve">магистральной теплотрассы.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начале </w:t>
      </w:r>
      <w:r>
        <w:rPr>
          <w:rFonts w:cs="Times New Roman" w:ascii="Times New Roman" w:hAnsi="Times New Roman"/>
          <w:sz w:val="28"/>
          <w:szCs w:val="28"/>
        </w:rPr>
        <w:t xml:space="preserve">кипяток </w:t>
      </w:r>
      <w:r>
        <w:rPr>
          <w:rFonts w:cs="Times New Roman" w:ascii="Times New Roman" w:hAnsi="Times New Roman"/>
          <w:sz w:val="28"/>
          <w:szCs w:val="28"/>
        </w:rPr>
        <w:t xml:space="preserve">затопил подвал, в котором находилось множество коммерческих заведений, включая пошивочную мастерскую, </w:t>
      </w:r>
      <w:r>
        <w:rPr>
          <w:rFonts w:cs="Times New Roman" w:ascii="Times New Roman" w:hAnsi="Times New Roman"/>
          <w:sz w:val="28"/>
          <w:szCs w:val="28"/>
        </w:rPr>
        <w:t>затем обрушился жилой дом.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Октябрьской прокуратурой Ижевска был взят под стражу более всех возмущавшийся потерпевший, потерявший в трагедии все имущество и мать. Он вывезен в психушку (за которой, естественно было много «замятых» дел с незаконным оборотом наркотиков и «отмазкой» от срочной службы), где ему была сделана инъекция. Статус подозреваемого после утраты адекватности был немедленно переквалифицирован, он сам признался, что перепилил то ли трубу, то ли шланг «из-за шипения соседей». Никакие возражения специалистов не поколебали решимости прокуроров района найти виновного, уничтожить человеческую личность, списать на «овощ» многолетнее пренебрежение методов нормальной эксплуатации.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настоящий момент потоки Фондов капремонтов отслеживаются ОПГ, создающими криминальный хаос в каждом регионе. Дело в том, что каждая «литера» БТИ имела лицевые счета, на которых накапливались средства амортизации восстановительной стоимости. Ведь у нас и физический износ зданий и сооружений подсчитывался в рублях, а далее — в процентах от восстановительной стоимости.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приватизацией БТИ, уничтожением всех литер и архивных номеров генпланов для последующей хищнической застройки, в планы «капремонтов» вносятся мероприятия, которые не относятся не только к самим капремонтам, но и не входят в состав СМР — ремонт лифтов (с непременным уничтожением системы пространственной жесткости здания и путей эвакуации). А лифтовое оборудование и газовое хозяйство — за рамками СМР. Но совершенно очевидно, что подобные решения принимаются людьми, не осознающими не только подобную «несущественную разницу», но и отличия текущих ремонтов от капитальных.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</w:rPr>
        <w:t>В прошедшем отопительном сезоне Рождество было испорчено повсеместно, выявив, что администрации районов и поселений не выполняют свою основную функцию — подготовку к отопительному сезону, который в нашей стране в среднем по климатическим районам составляет 9 месяцев.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Полностью разрушена система обязательных технических осмотров. Неграмотная и абсолютно безнравственная прослойка, паразитирующая на выводе средств ЖКХ, вместо анализа и технического оповещения об авариях — постоянно будирует тему «наступления техногенных катастроф».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время, вместо давно прописанных и нормированных мероприятий подготовки к отопительному сезону мы имеем аварии в энергетике, когда никто не виноват, огромные проблемы в области водоснабжения и водоотведения. Так же нам сообщается, что взносы ЖКУ теперь будут взиматься еще и нотариусами, здорово «погревших руки» на реализации квартир умерших граждан, сдавая их мигрантам. Вдобавок перед нами происходит кураж инфоцыган, являющихся зримым показателем уровня выводимых и отмываемых через отрасль средств.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 нас лишь ОПГ и инфоцыгане пользуются в криминальных целях основной государственной отраслью, создающую систему жизнеобеспечения населения.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1994 года в нашей стране было создано </w:t>
      </w:r>
      <w:r>
        <w:rPr>
          <w:rFonts w:ascii="Times New Roman" w:hAnsi="Times New Roman"/>
          <w:b/>
          <w:bCs/>
          <w:sz w:val="28"/>
          <w:szCs w:val="28"/>
        </w:rPr>
        <w:t>Министерство по чрезвычайным ситуациям</w:t>
      </w:r>
      <w:r>
        <w:rPr>
          <w:rFonts w:ascii="Times New Roman" w:hAnsi="Times New Roman"/>
          <w:sz w:val="28"/>
          <w:szCs w:val="28"/>
        </w:rPr>
        <w:t>,  ведающее вопросами предотвращения чрезвычайных ситуаций и ликвидации последствий стихийных бедствий.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в составе федеральную противопожарную службу, профессиональную аварийно-спасательную службу (ПАСС), спасательные воинские формирования.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все равно со всеми последствиями волюнтаризма в области ЖКХ разбираться приходится МЧС, то необходимо, чтобы и собираемые средства контролировались не инфоцыганами и ОПГ.</w:t>
        <w:br/>
        <w:t xml:space="preserve">ЖКХ — основное направление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целью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нормативных государственных требований в сфере жилищной и градостроительной политики, влияния государства в области внутренней политики;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прекращения инвестирования ВСУ, экстремизма, терроризма, устройства общественных беспорядков;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национального амортизационного фонда зданий и сооружений в эксплуатации;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разделения функций: заказчика, подрядчика и эксплуатирующей организации;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квалифицированных государственных приемочных комиссий в эксплуатацию с организацией хранения всей документации построечного периода, принимаемой в период поэтапной сдачи объектов;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состава проектной-сметной документации в полном объеме, начиная техническими требованиями, Первым томом «Защита атмосферного воздуха и подземных вод от загрязнения» - до Пятого тома «Правила эксплуатации;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восстановления лицевых счетов и системы субсчетов эксплуатируемых зданий и сооружений;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восстановления системы планово-восстановительных мероприятий зданий и сооружений;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восстановления системы проведения и аналитики системы обязательных технических осмотров;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планирования и подготовки реновации зданий, не входящих в систему капитальных зданий и сооружений, входящих в период строительства в область интенсивного физического износа;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технически грамотной эксплуатации внеплощадочных и внутренних инженерных сетей;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контроля за мероприятиями подготовки к отопительному сезону ведомств и учреждений;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противопожарных, санитарно-гигиенических требований к объектам застройки;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водоотведения ливневых и паводковых стоков, дренажных и противо-оползневых работ;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земель общего пользования, резервных участков, нормативное восстановление и зонирование селитебных зон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Просим реорганизовать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 по чрезвычайным ситуациям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Министерство жилищно-коммунального хозяйства,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прикомандировав к нему отделы жилищно-коммунального хозяйства и энергетики от</w:t>
      </w:r>
      <w:r>
        <w:rPr>
          <w:rFonts w:ascii="Times New Roman" w:hAnsi="Times New Roman"/>
          <w:b/>
          <w:bCs/>
          <w:sz w:val="28"/>
          <w:szCs w:val="28"/>
        </w:rPr>
        <w:t xml:space="preserve"> Министерства строительства.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передать весь контроль на фондами капремонтов и ЖКХ Министерству по чрезвычайным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Обязуемся провести плановые переподготовки и повышение квалификации сотрудников Министерства по лицензированным в установленном порядке программам, опирающимся на отечественную нормативную базу, наладить контакты с университетами МЧС, передать всю накопленную базу для цифровизации системы контроля и предотвращения аварий и обрушений.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hyperlink r:id="rId2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color w:val="022544"/>
            <w:spacing w:val="0"/>
            <w:sz w:val="24"/>
            <w:szCs w:val="28"/>
            <w:u w:val="single"/>
          </w:rPr>
          <w:t>АНО ДПО Санкт-Петербургский</w:t>
          <w:br/>
          <w:t>университет высоких технологий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Style w:val="Style9"/>
          <w:rFonts w:ascii="inherit" w:hAnsi="inherit"/>
          <w:b/>
          <w:i w:val="false"/>
          <w:caps w:val="false"/>
          <w:smallCaps w:val="false"/>
          <w:color w:val="1C1C1C"/>
          <w:spacing w:val="0"/>
          <w:sz w:val="20"/>
          <w:szCs w:val="20"/>
        </w:rPr>
        <w:t>ПРОФЕССИОНАЛЬНАЯ ПЕРЕПОДГОТОВКА</w:t>
      </w:r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0" w:after="120"/>
        <w:ind w:left="360" w:right="0" w:hanging="0"/>
        <w:rPr>
          <w:rFonts w:ascii="PT Sans;Arial;Tahoma;sans-serif" w:hAnsi="PT Sans;Arial;Tahoma;sans-serif"/>
          <w:b w:val="false"/>
          <w:i w:val="false"/>
          <w:caps w:val="false"/>
          <w:smallCaps w:val="false"/>
          <w:color w:val="737E86"/>
          <w:spacing w:val="0"/>
          <w:sz w:val="17"/>
        </w:rPr>
      </w:pPr>
      <w:r>
        <w:rPr>
          <w:rFonts w:ascii="PT Sans;Arial;Tahoma;sans-serif" w:hAnsi="PT Sans;Arial;Tahoma;sans-serif"/>
          <w:b w:val="false"/>
          <w:i w:val="false"/>
          <w:caps w:val="false"/>
          <w:smallCaps w:val="false"/>
          <w:color w:val="737E86"/>
          <w:spacing w:val="0"/>
          <w:sz w:val="17"/>
        </w:rPr>
        <w:t>Градостроительство и территориальное планирование</w:t>
      </w:r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0" w:after="120"/>
        <w:ind w:left="360" w:right="0" w:hanging="0"/>
        <w:rPr>
          <w:rFonts w:ascii="PT Sans;Arial;Tahoma;sans-serif" w:hAnsi="PT Sans;Arial;Tahoma;sans-serif"/>
          <w:b w:val="false"/>
          <w:i w:val="false"/>
          <w:caps w:val="false"/>
          <w:smallCaps w:val="false"/>
          <w:color w:val="737E86"/>
          <w:spacing w:val="0"/>
          <w:sz w:val="17"/>
        </w:rPr>
      </w:pPr>
      <w:r>
        <w:rPr>
          <w:rFonts w:ascii="PT Sans;Arial;Tahoma;sans-serif" w:hAnsi="PT Sans;Arial;Tahoma;sans-serif"/>
          <w:b w:val="false"/>
          <w:i w:val="false"/>
          <w:caps w:val="false"/>
          <w:smallCaps w:val="false"/>
          <w:color w:val="737E86"/>
          <w:spacing w:val="0"/>
          <w:sz w:val="17"/>
        </w:rPr>
        <w:t>Градостроительная деятельность в области реставрации и реконструкции зданий и сооружений</w:t>
      </w:r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0" w:after="120"/>
        <w:ind w:left="360" w:right="0" w:hanging="0"/>
        <w:rPr>
          <w:rFonts w:ascii="PT Sans;Arial;Tahoma;sans-serif" w:hAnsi="PT Sans;Arial;Tahoma;sans-serif"/>
          <w:b w:val="false"/>
          <w:i w:val="false"/>
          <w:caps w:val="false"/>
          <w:smallCaps w:val="false"/>
          <w:color w:val="737E86"/>
          <w:spacing w:val="0"/>
          <w:sz w:val="17"/>
        </w:rPr>
      </w:pPr>
      <w:r>
        <w:rPr>
          <w:rFonts w:ascii="PT Sans;Arial;Tahoma;sans-serif" w:hAnsi="PT Sans;Arial;Tahoma;sans-serif"/>
          <w:b w:val="false"/>
          <w:i w:val="false"/>
          <w:caps w:val="false"/>
          <w:smallCaps w:val="false"/>
          <w:color w:val="737E86"/>
          <w:spacing w:val="0"/>
          <w:sz w:val="17"/>
        </w:rPr>
        <w:t>Техническая эксплуатация зданий и сооружений</w:t>
      </w:r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3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Управление многоквартирным жилым домом</w:t>
        </w:r>
      </w:hyperlink>
    </w:p>
    <w:p>
      <w:pPr>
        <w:pStyle w:val="Style12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4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Проектно-сметное дело</w:t>
        </w:r>
      </w:hyperlink>
    </w:p>
    <w:p>
      <w:pPr>
        <w:pStyle w:val="3"/>
        <w:widowControl/>
        <w:pBdr/>
        <w:spacing w:lineRule="atLeast" w:line="348" w:before="0" w:after="0"/>
        <w:ind w:left="0" w:right="0" w:hanging="0"/>
        <w:rPr/>
      </w:pPr>
      <w:r>
        <w:rPr>
          <w:rStyle w:val="Style9"/>
          <w:rFonts w:ascii="inherit" w:hAnsi="inherit"/>
          <w:b/>
          <w:i w:val="false"/>
          <w:caps w:val="false"/>
          <w:smallCaps w:val="false"/>
          <w:color w:val="1C1C1C"/>
          <w:spacing w:val="0"/>
          <w:sz w:val="20"/>
          <w:szCs w:val="20"/>
        </w:rPr>
        <w:t>КУРСЫ ПОВЫШЕНИЯ КВАЛИФИКАЦИИ</w:t>
      </w:r>
    </w:p>
    <w:p>
      <w:pPr>
        <w:pStyle w:val="Style12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5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Реконструкция зданий, сооружений и застройки</w:t>
        </w:r>
      </w:hyperlink>
    </w:p>
    <w:p>
      <w:pPr>
        <w:pStyle w:val="Style12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6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Испытание и обследование зданий и сооружений</w:t>
        </w:r>
      </w:hyperlink>
    </w:p>
    <w:p>
      <w:pPr>
        <w:pStyle w:val="Style12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7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Техническая эксплуатация зданий, многоквартирных домов и сооружений</w:t>
        </w:r>
      </w:hyperlink>
    </w:p>
    <w:p>
      <w:pPr>
        <w:pStyle w:val="Style12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8" w:tgtFrame="_blank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Комплексное инженерное благоустройство территории</w:t>
        </w:r>
      </w:hyperlink>
    </w:p>
    <w:p>
      <w:pPr>
        <w:pStyle w:val="Style12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9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Управление многоквартирным домом</w:t>
        </w:r>
      </w:hyperlink>
    </w:p>
    <w:p>
      <w:pPr>
        <w:pStyle w:val="Style12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360" w:right="0" w:hanging="0"/>
        <w:rPr/>
      </w:pPr>
      <w:hyperlink r:id="rId10" w:tgtFrame="_blank">
        <w:r>
          <w:rPr>
            <w:rStyle w:val="-"/>
            <w:rFonts w:ascii="PT Sans;Arial;Tahoma;sans-serif" w:hAnsi="PT Sans;Arial;Tahoma;sans-serif"/>
            <w:b w:val="false"/>
            <w:i w:val="false"/>
            <w:caps w:val="false"/>
            <w:smallCaps w:val="false"/>
            <w:strike w:val="false"/>
            <w:dstrike w:val="false"/>
            <w:color w:val="0095EB"/>
            <w:spacing w:val="0"/>
            <w:sz w:val="17"/>
            <w:u w:val="none"/>
            <w:effect w:val="none"/>
          </w:rPr>
          <w:t>Проектно-сметное дело в области реконструкции, капремонтов и реставрации</w:t>
        </w:r>
      </w:hyperlink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PT Sans">
    <w:altName w:val="Arial"/>
    <w:charset w:val="cc"/>
    <w:family w:val="auto"/>
    <w:pitch w:val="default"/>
  </w:font>
  <w:font w:name="inherit"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1"/>
    <w:next w:val="Style12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-">
    <w:name w:val="Hyperlink"/>
    <w:rPr>
      <w:color w:val="000080"/>
      <w:u w:val="single"/>
    </w:rPr>
  </w:style>
  <w:style w:type="character" w:styleId="Style8">
    <w:name w:val="FollowedHyperlink"/>
    <w:rPr>
      <w:color w:val="800000"/>
      <w:u w:val="single"/>
    </w:rPr>
  </w:style>
  <w:style w:type="character" w:styleId="Style9">
    <w:name w:val="Strong"/>
    <w:qFormat/>
    <w:rPr>
      <w:b/>
      <w:bCs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niver.spb.ru/" TargetMode="External"/><Relationship Id="rId3" Type="http://schemas.openxmlformats.org/officeDocument/2006/relationships/hyperlink" Target="http://univer.spb.ru/upravlenie-mnogokvartirnym-zhilym-domom/" TargetMode="External"/><Relationship Id="rId4" Type="http://schemas.openxmlformats.org/officeDocument/2006/relationships/hyperlink" Target="http://univer.spb.ru/fakultet-arhitektura-i-zodchestvo/kurs-smetnoe-delo/" TargetMode="External"/><Relationship Id="rId5" Type="http://schemas.openxmlformats.org/officeDocument/2006/relationships/hyperlink" Target="http://univer.spb.ru/rekonstrukcziya-i-restavracziya-zdanij-sooruzhenij-i-zastrojki/" TargetMode="External"/><Relationship Id="rId6" Type="http://schemas.openxmlformats.org/officeDocument/2006/relationships/hyperlink" Target="http://univer.spb.ru/ispytanie-i-obsledovanie-zdanij-i-sooruzhenij/" TargetMode="External"/><Relationship Id="rId7" Type="http://schemas.openxmlformats.org/officeDocument/2006/relationships/hyperlink" Target="http://univer.spb.ru/tehnicheskaya-ekspluatacziya-zdanij-mnogokvartirnyh-domov-i-sooruzhenij/" TargetMode="External"/><Relationship Id="rId8" Type="http://schemas.openxmlformats.org/officeDocument/2006/relationships/hyperlink" Target="http://univer.spb.ru/kompleksnoe-inzhenernoe-blagoustrojstvo-territorii/" TargetMode="External"/><Relationship Id="rId9" Type="http://schemas.openxmlformats.org/officeDocument/2006/relationships/hyperlink" Target="http://univer.spb.ru/upravlenie-mnogokvartirnym-zhilym-domom-2/" TargetMode="External"/><Relationship Id="rId10" Type="http://schemas.openxmlformats.org/officeDocument/2006/relationships/hyperlink" Target="http://univer.spb.ru/proektno-smetnoe-delo-v-oblasti-rekonstrukczii-kapremontov-i-restavraczii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463</TotalTime>
  <Application>LibreOffice/7.5.0.3$Windows_X86_64 LibreOffice_project/c21113d003cd3efa8c53188764377a8272d9d6de</Application>
  <AppVersion>15.0000</AppVersion>
  <Pages>6</Pages>
  <Words>1664</Words>
  <Characters>11985</Characters>
  <CharactersWithSpaces>13609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2024-07-22T23:58:49Z</dcterms:created>
  <dc:creator/>
  <dc:description/>
  <dc:language>ru-RU</dc:language>
  <cp:lastModifiedBy/>
  <dcterms:modified xsi:type="dcterms:W3CDTF">2024-07-23T15:57:26Z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